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BD" w:rsidRPr="008515BD" w:rsidRDefault="008515BD" w:rsidP="008515BD">
      <w:pPr>
        <w:spacing w:before="100" w:beforeAutospacing="1" w:after="150" w:line="315" w:lineRule="atLeast"/>
        <w:outlineLvl w:val="2"/>
        <w:rPr>
          <w:rFonts w:ascii="Source Sans Pro" w:eastAsia="Times New Roman" w:hAnsi="Source Sans Pro" w:cs="Arial"/>
          <w:b/>
          <w:bCs/>
          <w:color w:val="2A568F"/>
          <w:sz w:val="27"/>
          <w:szCs w:val="27"/>
        </w:rPr>
      </w:pPr>
      <w:r w:rsidRPr="008515BD">
        <w:rPr>
          <w:rFonts w:ascii="Source Sans Pro" w:eastAsia="Times New Roman" w:hAnsi="Source Sans Pro" w:cs="Arial"/>
          <w:b/>
          <w:bCs/>
          <w:color w:val="2A568F"/>
          <w:sz w:val="27"/>
          <w:szCs w:val="27"/>
        </w:rPr>
        <w:t>Submission Requirements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Description of Operations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Historical Narrative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Key management personnel, including resumes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Prior and current structure including lines of coverage, retention, limits, excess carriers, service companies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Marketing strategy/plan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Target accounts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Projected growth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Competition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Program Information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Detailed account of past and present exposures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Number of insureds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State mix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Average account/insured size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Desired coverage by line of business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Rating information by line of business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Policy Forms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Current policy forms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Copies of all endorsements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Unique Filing Requirements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Underwriting Administration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>
        <w:rPr>
          <w:rFonts w:ascii="Arial" w:eastAsia="Times New Roman" w:hAnsi="Arial" w:cs="Arial"/>
          <w:color w:val="888888"/>
          <w:sz w:val="24"/>
          <w:szCs w:val="24"/>
        </w:rPr>
        <w:t xml:space="preserve">Staff experience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Underwriting guidelines and procedures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Rating structure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Breakdown of the premium dollar-expense components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Systems Utilized for Rate/Quote/Policy Issuance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Interface Requirements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Loss Information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Currently valued loss information for past five years, excluding the most recent year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Hard copy loss runs for current period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Detailed description of all large losses in excess of $50,000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Summary of Group data by line - if applicable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Triangulated data - if available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Claims Administration and Management </w:t>
      </w:r>
      <w:r>
        <w:rPr>
          <w:rFonts w:ascii="Arial" w:eastAsia="Times New Roman" w:hAnsi="Arial" w:cs="Arial"/>
          <w:color w:val="888888"/>
          <w:sz w:val="24"/>
          <w:szCs w:val="24"/>
        </w:rPr>
        <w:t>(if using TPA)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TPA or Staff experience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Procedures, authority levels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Large loss strategy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Corporate philosophy of insured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lastRenderedPageBreak/>
        <w:t>Copy of claims service agreement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Interface Requirements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Actuarial Reports - if available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IBNR and loss reserve analysis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Ultimate loss projections, by line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Rate analysis and funding requirements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Financials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Audited financial statements - two years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Investment strategy - if captive involved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Dividend policy of the group - if captive involved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Description of state of domicile taxes, assessments, and fees - if captive involved</w:t>
      </w:r>
    </w:p>
    <w:p w:rsidR="008515BD" w:rsidRPr="008515BD" w:rsidRDefault="008515BD" w:rsidP="008515BD">
      <w:pPr>
        <w:numPr>
          <w:ilvl w:val="0"/>
          <w:numId w:val="1"/>
        </w:numPr>
        <w:spacing w:before="100" w:beforeAutospacing="1" w:after="100" w:afterAutospacing="1" w:line="315" w:lineRule="atLeast"/>
        <w:ind w:left="49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 xml:space="preserve">Loss Control </w:t>
      </w:r>
    </w:p>
    <w:p w:rsidR="008515BD" w:rsidRPr="008515BD" w:rsidRDefault="008515BD" w:rsidP="008515BD">
      <w:pPr>
        <w:numPr>
          <w:ilvl w:val="1"/>
          <w:numId w:val="1"/>
        </w:numPr>
        <w:spacing w:before="100" w:beforeAutospacing="1" w:after="100" w:afterAutospacing="1" w:line="315" w:lineRule="atLeast"/>
        <w:ind w:left="1215"/>
        <w:rPr>
          <w:rFonts w:ascii="Arial" w:eastAsia="Times New Roman" w:hAnsi="Arial" w:cs="Arial"/>
          <w:color w:val="888888"/>
          <w:sz w:val="24"/>
          <w:szCs w:val="24"/>
        </w:rPr>
      </w:pPr>
      <w:r w:rsidRPr="008515BD">
        <w:rPr>
          <w:rFonts w:ascii="Arial" w:eastAsia="Times New Roman" w:hAnsi="Arial" w:cs="Arial"/>
          <w:color w:val="888888"/>
          <w:sz w:val="24"/>
          <w:szCs w:val="24"/>
        </w:rPr>
        <w:t>Programs and guidelines</w:t>
      </w:r>
    </w:p>
    <w:p w:rsidR="00E34F1E" w:rsidRDefault="00E34F1E">
      <w:bookmarkStart w:id="0" w:name="_GoBack"/>
      <w:bookmarkEnd w:id="0"/>
    </w:p>
    <w:sectPr w:rsidR="00E3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5B5F"/>
    <w:multiLevelType w:val="multilevel"/>
    <w:tmpl w:val="2A0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BD"/>
    <w:rsid w:val="008515BD"/>
    <w:rsid w:val="00E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EB0"/>
  <w15:chartTrackingRefBased/>
  <w15:docId w15:val="{6B204D6B-0F06-4FF6-BB88-E86B824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15BD"/>
    <w:pPr>
      <w:spacing w:before="100" w:beforeAutospacing="1" w:after="150" w:line="240" w:lineRule="auto"/>
      <w:outlineLvl w:val="2"/>
    </w:pPr>
    <w:rPr>
      <w:rFonts w:ascii="Source Sans Pro" w:eastAsia="Times New Roman" w:hAnsi="Source Sans Pro" w:cs="Times New Roman"/>
      <w:b/>
      <w:bCs/>
      <w:color w:val="2A568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15BD"/>
    <w:rPr>
      <w:rFonts w:ascii="Source Sans Pro" w:eastAsia="Times New Roman" w:hAnsi="Source Sans Pro" w:cs="Times New Roman"/>
      <w:b/>
      <w:bCs/>
      <w:color w:val="2A568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AmTrust Financial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Szabo</dc:creator>
  <cp:keywords/>
  <dc:description/>
  <cp:lastModifiedBy>Vicky Szabo</cp:lastModifiedBy>
  <cp:revision>1</cp:revision>
  <dcterms:created xsi:type="dcterms:W3CDTF">2017-11-30T18:28:00Z</dcterms:created>
  <dcterms:modified xsi:type="dcterms:W3CDTF">2017-11-30T18:38:00Z</dcterms:modified>
</cp:coreProperties>
</file>